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46 vom 9. Februar 2005</w:t>
      </w:r>
    </w:p>
    <w:p>
      <w:r>
        <w:t>GR Gerichte, 2005-02-09, DE</w:t>
      </w:r>
    </w:p>
    <w:p>
      <w:r>
        <w:rPr>
          <w:b/>
        </w:rPr>
        <w:t xml:space="preserve">Quelle: </w:t>
      </w:r>
      <w:r>
        <w:t>https://mcp.opencaselaw.ch/entscheid/gr_gerichte_SF 2004 46</w:t>
      </w:r>
    </w:p>
    <w:p>
      <w:r>
        <w:t>FR: GR_GERICHTE SF 2004 46 du 9 février 2005</w:t>
      </w:r>
    </w:p>
    <w:p>
      <w:r>
        <w:t>IT: GR_GERICHTE SF 2004 46 del 9 febbraio 2005</w:t>
      </w:r>
    </w:p>
    <w:p>
      <w:pPr>
        <w:pStyle w:val="Heading2"/>
      </w:pPr>
      <w:r>
        <w:t>Regeste</w:t>
      </w:r>
    </w:p>
    <w:p>
      <w:r>
        <w:t>vollendeter Versuch der vorsätzlichen Tötung | Leib und Leben</w:t>
      </w:r>
    </w:p>
    <w:p>
      <w:pPr>
        <w:pStyle w:val="Heading2"/>
      </w:pPr>
      <w:r>
        <w:t>Erwägungen</w:t>
      </w:r>
    </w:p>
    <w:p>
      <w:r>
        <w:rPr>
          <w:b/>
        </w:rPr>
        <w:t>E. 8</w:t>
      </w:r>
    </w:p>
    <w:p>
      <w:r>
        <w:t>eben vor der erwähnten Bar vorbeigelaufen sei. In der Folge hatte X. den Anwesen- den bekannt gegeben, er werde sich nun an Dr. R., der ihm ein Jahr seines Lebens genommen habe, rächen. Er folgte jenem, teilweise in Begleitung seines Kollegen V., durch die Altstadt zu der erwähnten WC-Anlage, wo es im Verlaufe eines Wort- wechsels zur Tat kam. Dr. R. gelang es, den Angeklagten nach fünf Messerstichen zum Aufhören zu bewegen, indem er vorschlug, etwas zusammen trinken zu gehen und die Sache zu bereden. Die beiden Personen begaben sich in der Folge ins Restaurant Z.. Nach Bestellung der Getränke entfernte sich der Angeklagte von dort und liess den verletzten Dr. R., für den kurz danach eine Ambulanz gerufen wurde, zurück. b. Der dargestellte Sachverhalt deckt sich im Wesentlichen mit den An- gaben des Angeklagten im Ermittlungsverfahren (vgl. act. 3.2, 4.17, 4.21, 4.24, 4.28), von denen er auch in der Hauptverhandlung nicht abwich. Einzig anlässlich der untersuchungsrichterlichen Einvernahme vom 27. April 2004 (act. 4.22) hatte er die Tat noch abgestritten, was er später mit dem Umstand begründete, er habe aus Angst nicht von Anfang an die Wahrheit gesagt (act. 4.21, S. 5 unten). Am Geständ- nis des Angeklagten ändert nichts, dass er sich zuweilen nicht mehr an jedes Detail der Tat zu erinnern vermag, da er im Grundsatz nach wie vor zu seinem Handeln steht. Zusätzlich untermauert wird das Geständnis des Angeklagten durch die glaubwürdigen, in den wesentlichen Punkten übereinstimmenden Aussagen der Auskunftspersonen bzw. Zeugen V. (act. 4.18, 4.24), U. (act. 4.16, 4.25), T. (act. 4.27), AB. (act. 4.20) und AC. (act. 4.19) sowie durch die Angaben des Opfers Dr. R. selbst, welcher als Zeuge einvernommen wurde (act. 4.23, 4.28). Es ist unter diesen Umständen rechtsgenüglich nachgewiesen, dass X. am 26. April 2004 mit einem Messer mehrmals auf Dr. R. einstach und diesen dadurch lebensgefährlich verletzte. In einem weiteren Schritt ist nun zu prüfen, ob und allenfalls aufgrund welcher Strafbestimmung der Angeklagte für sein Verhalten zur Verantwortung zu ziehen ist. 2.a. Gemäss Art. 111 StGB macht sich strafbar, wer vorsätzlich einen Men- schen tötet, ohne dass eine der besonderen Voraussetzungen der nachfolgenden Artikel (Art. 112 bis 116 StGB) zutrifft. Art. 111 StGB stellt den Grundtatbestand der verschiedenen vom Schweizerischen Strafgesetzbuch erfassten Formen der vor- sätzlichen Tötung dar. Bei Art. 112 StGB (Mord) handelt es sich um einen qualifi- zierten Tatbestand, während die Art. 113 StGB (Totschlag), 114 StGB (Tötung auf</w:t>
      </w:r>
    </w:p>
    <w:p>
      <w:r>
        <w:rPr>
          <w:b/>
        </w:rPr>
        <w:t>E. 9</w:t>
      </w:r>
    </w:p>
    <w:p>
      <w:r>
        <w:t>Verlangen) und 116 StGB (Kindestötung) privilegierte Tatbestände darstellen (Christian Schwarzenegger, Basler Kommentar zum StGB, Band II, Basel 2003, N 27 vor Art. 111 StGB). Für die Qualifizierung zum Mord nach Art. 112 StGB wird ein besonders skru- pelloses Handeln vorausgesetzt, das sich durch einen besonders verwerflichen Be- weggrund (z.B. Habgier, Rache oder extremer Egoismus bzw. extreme Gering- schätzung des Lebens), einen besonders verwerflichen Zweck der Tat (z.B. Elimi- nationsmord) oder eine besonders verwerfliche Art der Tatausführung (z.B. ausser- ordentliche Grausamkeit, Heimtücke oder Einsatz von Gift, Feuer oder ähnlichen Tatmitteln) verdeutlicht (Schwarzenegger, a.a.O., N 3 und N 7 ff. zu Art. 112 StGB; Trechsel, a.a.O., N 9 ff. zu Art. 112 StGB). Im Lichte dieser Beispiele erhellt, dass die Staatsanwaltschaft zu Recht davon Abstand genommen hat, X. des Mordes an- zuklagen. Trotz des Umstandes, dass die Tat als vollkommen unverhältnismässig und kaum nachvollziehbar erscheint, kann sie nicht als ein Verhalten qualifiziert wer- den, welches es rechtfertigen würde, von einer besonderen Skrupellosigkeit im dar- gelegten Sinne zu sprechen. Die Anwendung von Art. 112 StGB fällt damit ausser Betracht. Von den privilegierten Formen der vorsätzlichen Tötung ist vorliegend von vornherein nur der Totschlag gemäss Art. 113 StGB in Betracht zu ziehen. Dieses Delikt begeht, wer in einer nach den Umständen entschuldbaren heftigen Gemüts- bewegung oder unter grosser seelischer Belastung handelt. Der Täter muss dem- nach in einem Affekt handeln (psychologisches Kriterium) und dieser Affekt muss entschuldbar sein (normatives, ethisches Kriterium) (Trechsel, a.a.O., N 1 zu Art. 113 StGB).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 schen, einschränkt. Typisch ist, dass der Täter mehr oder weniger unverzüglich auf ein Gefühl, das ihn plötzlich überwältigt, reagiert. Beispiele solcher Gefühle sind Jähzorn, Wut, Eifersucht, Verzweiflung, Angst oder Bestürzung. Es kann sich viel- fach um Gefühle handeln, die über längere Zeit in einer Konfliktsituation bewusst oder unbewusst aufgestaut worden sind, bis es zu einer explosiven Entladung kommt. Mit der Privilegierung wird der Tatsache Rechnung getragen, dass der Täter aufgrund des emotionalen Erregungszustandes im Moment der Tötungshandlung nur noch beschränkt in der Lage war, sein Verhalten zu kontrollieren (BGE 119 IV 203 f., 118 IV 236; Stratenwerth/Jenny, Schweizerisches Strafrecht, BT I, 6. Aufl.</w:t>
      </w:r>
    </w:p>
    <w:p>
      <w:r>
        <w:rPr>
          <w:b/>
        </w:rPr>
        <w:t>E. 10</w:t>
      </w:r>
    </w:p>
    <w:p>
      <w:r>
        <w:t>2003, §1 N 29; Trechsel, a.a.O, N 2 f. zu Art. 113 StGB). Demgegenüber gründet die grosse seelische Belastung vorab auf einer äusseren Zwangslage. Mit einer schweren seelischen Belastungssituation ist ein chronischer seelischer Zustand, eine psychische Drucksituation gemeint, die während eines langen Zeitraums kon- tinuierlich heranwächst und zu einem langen Leidensprozess führt, bis der Täter völlig verzweifelt ist und keinen anderen Ausweg mehr sieht als die Tötung (BGE 119 IV 204, 118 IV 236; Schwarzenegger, a.a.O., N 14 zu Art. 113 StGB; Trechsel, a.a.O., N 4 zu Art. 113 StGB mit zahlreichen Hinweisen). Die Anwendbarkeit von Art. 113 StGB setzt neben dem Vorliegen einer heftigen Gemütsbewegung oder einer grossen seelischen Belastung voraus, dass der Affekt, in dem der Täter ge- handelt hat, nach den Umständen entschuldbar ist.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Abnorme Elemente in der Persönlichkeit des Täters (wie besondere Erregbarkeit oder krankhafte Eifersucht) vermögen die Entschuldbarkeit der Gemütsbewegung nicht zu begründen, sondern sind allenfalls bei der Strafzu- messung zu berücksichtigen. Eine heftige Gemütsbewegung ist entschuldbar, wenn sie in Anbetracht der gesamten äusseren Umstände als menschlich verständlich erscheint. Es muss angenommen werden können, auch eine andere, anständig ge- sinnte Person wäre in der betreffenden Situation leicht in einen solchen Affekt ge- raten. Hat der Täter die Konfliktsituation, welche die Gemütsbewegung auslöste, selber verschuldet oder doch vorwiegend durch eigenes Verhalten schuldhaft her- beigeführt, so ist der Affekt nicht entschuldbar (Entscheid des Bundesgerichts vom 24. September 2004, 6S.180/2004, E. 1.1. in fine, mit Hinweisen; Schwarzenegger, a.a.O., N 8 ff. zu Art. 113 StGB). Nicht nur die heftige Gemütsbewegung, auch die grosse seelische Belastung muss entschuldbar sein. Sie muss bei objektiver Be- trachtungsweise nach den sie auslösenden äusseren Umständen als menschlich begreiflich bzw. verständlich erscheinen (Schwarzenegger, a.a.O., N 15 ff. zu Art. 113 StGB). b. Anlässlich der Hauptverhandlung machte der amtliche Verteidiger gel- tend, beim versuchten Tötungsdelikt handle es sich um eine Affekthandlung. Der Angeklagte habe sich in einer heftigen Gemütsbewegung befunden, da er im Tat- zeitpunkt dem vermeintlich Schuldigen für sein verpfuschtes Leben gegenüberge- standen sei und dieser ihn zudem mit der abschätzigen Bemerkung „Ausländer“ provoziert habe. Dieser Affekt sei unter Berücksichtigung der schwierigen Situation, in der sich der Angeklagte im Tatzeitpunkt befunden habe - vollständige Arbeitsun-</w:t>
      </w:r>
    </w:p>
    <w:p>
      <w:r>
        <w:rPr>
          <w:b/>
        </w:rPr>
        <w:t>E. 11</w:t>
      </w:r>
    </w:p>
    <w:p>
      <w:r>
        <w:t>fähigkeit aufgrund seiner psychischen Erkrankung, Trennung von seiner Familie, Annahme, dass Dr. R. ihn falsch behandelt habe - und der damit einhergehenden Beleidigung durch das Opfer durchaus entschuldbar. Das Verhalten des Angeklag- ten sei daher nicht als vorsätzliche Tötung im Sinne von Art. 111 StGB, sondern als Totschlag im Sinne von Art. 113 StGB zu werten. Diesen Ausführungen kann sich das Gericht nicht anschliessen. Gemäss den Ausführungen von Dr. med. Q. im psychiatrischen Gutachten kann insbesondere mit Blick auf das Tatgeschehen nicht von einer typischen Affekthandlung gespro- chen werden, zumal die Tatanlaufzeit relativ lange gewesen und vom Opfer kaum ein provokatives Signal ausgegangen sei. Ausserdem habe sich gezeigt, dass sich der Angeklagte an jenem Tag nicht in einer pathologischen Verstimmtheit befunden habe. Aus dem Gutachten geht weiter hervor, dass der Angeklagte bezüglich der Medikamentation im Laufe seiner Behandlung lediglich zwei Auseinandersetzungen mit Dr. R. gehabt hat. Nach eigenen Aussagen des Angeklagten habe er Dr. R. gelegentlich auf der Strasse gesehen, manchmal sogar gegrüsst, er habe aber nie eigentliche Hassgefühle in sich aufsteigen gefühlt; überhaupt sei er sich keiner be- sonderen Aggression gegen diesen Arzt bewusst (act. 2.10, S. 16). An diesen Schlussfolgerungen im Gutachten zu zweifeln, besteht für das Gericht kein Anlass. Sie sind widerspruchsfrei und nachvollziehbar. Auch anlässlich der Hafteinver- nahme (act. 3.2) hatte der Angeklagte ferner festgehalten, dass das Arzt-/Patien- tenverhältnis zwischen ihm und Dr. R. nicht schlecht gewesen sei. Aus diesen Aus- führungen folgt nun aber, dass der Angeklagte nicht im Affekt gehandelt hat. Zunächst spricht gegen das Vorliegen einer grossen seelischen Belastung insbe- sondere der Umstand, dass sich der Angeklagte nicht in einer durch die vermeintlich falsche Behandlung hervorgerufenen psychischen Drucksituation befand, die her- anwuchs und zu einem langen Leidensprozess führte, war sich der Angeklagte gemäss Gutachten sowie eigenen Aussagen doch keiner besonderen Hass- oder Aggressionsgefühle gegenüber Dr. R. bewusst. Gegen das Vorliegen einer heftigen Gemütsbewegung spricht sodann insbesondere der Umstand, dass die Anlaufzeit zur Tat relativ lange war, verfolgte der Täter das Opfer vor der Tat doch eine ge- wisse Zeit und zwar mit der klar geäusserten Absicht, sich bei diesem für eine an- geblich falsche Behandlung zu rächen. Eine Affekthandlung im Sinne einer heftigen Gemütsbewegung könnte höchstens darin erblickt werden, dass sich bei X. im Zeit- punkt des Zusammentreffens mit Dr. R. über längere Zeit aufgestaute Gefühle plötz- lich entladen hätten, und der Angeklagte dadurch spontan zum Messer griff, anstatt sich wie angeblich vorgesehen bloss mit Schlägen zu rächen. Selbst wenn man zu Gunsten des Angeklagten von einem derartigen Affekt ausgehen würde, so fehlte</w:t>
      </w:r>
    </w:p>
    <w:p>
      <w:r>
        <w:rPr>
          <w:b/>
        </w:rPr>
        <w:t>E. 12</w:t>
      </w:r>
    </w:p>
    <w:p>
      <w:r>
        <w:t>es aber, und zwar in mehrfacher Hinsicht, an dessen Entschuldbarkeit. Zunächst geht, was die vermeintlich falsche Behandlung durch Dr. R. betrifft, aus dem Schrei- ben von Dr. Q. vom 3. September 2004 hervor, dass die Behandlung des Angeklag- ten durch Dr. R. den Erfordernissen der damaligen Problemsituation sowohl hin- sichtlich Diagnostik als auch hinsichtlich der Behandlung entsprochen habe. Die An- nahme des Angeklagten, durch Dr. R. falsch behandelt worden zu sein, erweist sich daher als falsch. Zwar ist in diesem Zusammenhang in Betracht zu ziehen, dass sich der Angeklagte nicht bewusst war, dass seine Vermutung falsch war. Jedenfalls aber lässt auch eine subjektive, nicht fundierte Annahme einer Falschbehandlung es nicht als menschlich verständlich und damit entschuldbar erscheinen, den be- handelnden Arzt in derartiger Weise anzugreifen. Es ist in keiner Weise davon aus- zugehen, dass auch eine andere, anständig gesinnte Person bei der Konfrontation mit einem Arzt, dem ein Behandlungsfehler unterstellt wird, in einen derartigen Af- fekt geraten wäre. Daran vermag auch der vom Angeklagten erhobene Vorwurf, Dr. R. habe ihn als Ausländer bezeichnet und dadurch provoziert, nichts zu ändern. Abgesehenen davon, dass eine derartige Äusserung nicht nachgewiesen ist, würde auch diese den Affekt unter keinen Umständen als entschuldbar erscheinen lassen. Nicht auszuschliessen ist sodann ein beträchtliches, die Entschuldbarkeit des Af- fekts ausschliessendes Selbstverschulden des Angeklagten an der Herbeiführung des Affekts, insbesondere durch den erheblichen Alkoholkonsum, verfügte der An- geklagten im Tatzeitpunkt doch über eine Blutalkoholkonzentration von etwa 1.7 Gewichtspromillen. Objektiv gesehen ist unter diesen Umständen der privilegierte Tatbestand des Totschlags nach Art. 113 StGB nicht erfüllt. c. Die vorsätzliche Tötung im Sinne von Art. 111 StGB erfordert, wie be- reits aus dem Wortlaut der Bestimmung hervorgeht, Vorsatz. Vorsatz im Sinne von Art. 18 Abs. 2 StGB ist dann gegeben, wenn der Täter die Straftat mit Wissen und Willen verübt. Nach herrschender Lehre und Rechtsprechung muss sich dieses Be- wusstsein nur auf die objektiven Merkmale des Deliktstatbestandes, nicht aber auch auf die Rechtswidrigkeit der Tat oder deren Strafbarkeit beziehen (BGE 107 IV 207; Trechsel, a.a.O., N 7 f. zu Art. 18 StGB). Das Wissen um die Erfüllung der objektiven Tatbestandsmerkmale, die intellektuelle Komponente des Vorsatzes also, ist zu be- jahen, wenn sich der Täter der zum objektiven Tatbestand gehörenden Merkmale bewusst ist. Das Wollen und damit die voluntative Komponente des Vorsatzes be- deutet, dass der Täter den Entschluss gefasst haben muss, die in seiner Vorstellung enthaltenen objektiven Tatbestandsmerkmale zu verwirklichen. Ein vorsätzliches Handeln kann einem Straftäter aber nicht nur dann vorgeworfen werden, wenn ein direkter Vorsatz erkennbar ist; vielmehr genügt es auch, wenn der Täter mit Even-</w:t>
      </w:r>
    </w:p>
    <w:p>
      <w:r>
        <w:rPr>
          <w:b/>
        </w:rPr>
        <w:t>E. 13</w:t>
      </w:r>
    </w:p>
    <w:p>
      <w:r>
        <w:t>tualvorsatz gehandelt hat. Bei dieser Vorsatzart ist sich der Täter auf der Wissens- seite der Möglichkeit des Erfolgseintritts bewusst und nimmt auf der Willensseite die Verwirklichung des vorausgesehenen strafbaren Verhaltens für den Fall, dass diese tatsächlich eintreten sollte, in Kauf oder findet sich mit derselben ab, auch wenn sie durchaus nicht seinen Wünschen entspricht, also nicht gebilligt wird (BGE 130 IV 61, mit Hinweisen; Trechsel, a.a.O., N 13 f. zu Art. 18 StGB, mit weiteren Hinwei- sen). Für den Nachweis des Vorsatzes kann sich das Gericht - ausser im Falle eines Geständnisses - regelmässig nur auf äusserlich feststellbare Indizien und auf Erfah- rungsregeln stützen, die ihm Rückschlüsse von den äusseren Umständen auf die innere Einstellung des Täters erlauben. Nach der Rechtsprechung darf das Gericht vom Wissen des Täters auf den Willen schliessen, wenn sich dem Täter die Ver- wirklichung der Gefahr als so wahrscheinlich aufdrängte, dass die Bereitschaft, sie als Folge hinzunehmen, vernünftigerweise nur als Inkaufnahme des Erfolges aus- gelegt werden kann (BGE 109 IV 140, mit Hinweisen). Zu den äusseren Umständen, aus denen der Schluss gezogen werden kann, der Täter habe die Tatbestandsver- wirklichung in Kauf genommen, zählt die Rechtsprechung unter anderem die Grösse des dem Täter bekannten Risikos der Tatbestandsverwirklichung und die Schwere der Sorgfaltspflichtverletzung. Je grösser die Wahrscheinlichkeit der Tat- bestandsverwirklichung ist und je schwerer die Sorgfaltspflichtverletzung wiegt, desto näher liegt die tatsächliche Schlussfolgerung, der Täter habe die Tatbe- standsverwirklichung in Kauf genommen (BGE 130 IV 62, 125 IV 252). Eventual- vorsatz genügt auch für den unvollendeten oder vollendeten Versuch der vorsätzli- chen Tötung (Schwarzenegger, a.a.O., N 7 zu Art. 111 StGB). Vorliegend liegt ohne Zweifel eine vorsätzliche Tatbegehung durch den An- geklagten vor. Er begab sich mit der klaren Absicht, sich bei Dr. R. für angeblich erlittenes Leid zu rächen und mit jenem abzurechnen, an den Tatort. Zwar gab er mehrfach an, er habe sich an Dr. R. bloss in Form von Schlägen rächen wollen, habe aber nicht die Absicht gehabt, diesen zu töten (vgl. act. 3.2, 4.17, 4.21, 4.24). Mag in diesem Sinne auch kein direkter Tötungsvorsatz nachweisbar sein, so ist dennoch zu beachten, dass der Angeklagte fünf Mal mit einem Messer auf den Na- cken- und Flankenbereich sowie auf den Bauch seines Opfers eingestochen hat. Die Möglichkeit einer tödlichen Verletzung drängte sich unter diesen Umständen als derart wahrscheinlich auf, dass das Vorgehen des Angeklagten vernünftigerweise nur als Inkaufnahme dieses Erfolgs ausgelegt werden kann. Der Angeklagte gab denn auch selbst zu Protokoll, er nehme an, dass man mit einem derartigen Verhal- ten jemanden töten könne (act. 4.24, S. 8). Damit hat X. aber zumindest eventual-</w:t>
      </w:r>
    </w:p>
    <w:p>
      <w:r>
        <w:rPr>
          <w:b/>
        </w:rPr>
        <w:t>E. 14</w:t>
      </w:r>
    </w:p>
    <w:p>
      <w:r>
        <w:t>vorsätzlich gehandelt und den Tatbestand der (versuchten) vorsätzlichen Tötung nach Art. 111 StGB auch in subjektiver Hinsicht erfüllt. d. Wird die strafbare Tätigkeit zu Ende geführt, tritt aber der zur Vollen- dung des Verbrechens gehörende Erfolg nicht ein, so kann der Täter nach den Grundsätzen von Art. 65 StGB milder bestraft werden (Art. 22 Abs. 1 StGB). Der Versuch ist im Sinne von Art. 22 Abs. 1 StGB vollendet, wenn der Täter alles getan hat, was er nach seiner Vorstellung tun musste, um die Tat zu vollenden, ohne die- ses Ziel aber zu erreichen (Trechsel, a.a.O., N 1 zu Art. 22 StGB). Hat der Täter demgegenüber mit der Ausführung der Tat begonnen, aber nicht alles vorgekehrt, was nach seiner Vorstellung zur Vollendung erforderlich war, und ist diese Vollen- dung auch nicht eingetreten, liegt ein unvollendeter Versuch nach Art. 21 Abs. 1 StGB vor (Trechsel, a.a.O., N 1 zu Art. 21 StGB). Aus der Tatsache, dass X. mit einem Messer, das geeignet war, einen Men- schen zu töten, mehrmals auf den Oberkörper von Dr. R. einstach und diesen dabei lebensgefährlich verletzte, geht eindeutig hervor, dass dieses Vorgehen ohne wei- teres Zutun geeignet war, den beabsichtigten Erfolg, nämlich den Tod des Opfers herbeizuführen. Der Angeklagte hat somit die strafbare Handlung zu Ende geführt bzw. alles getan, was er nach seiner Vorstellung hierfür tun musste. Dass die Tat misslang und der tatbestandsmässige Erfolg nicht eintrat, ist allein den Bemühun- gen des Opfers um Beschwichtigung des Täters sowie der darauf folgenden ra- schen medizinischen Behandlung zu verdanken. Unter diesen Umständen ist von einem vollendeten Versuch im Sinne von Art. 22 Abs.1 StGB auszugehen. e. Zusammenfassend ergibt sich, dass die Tat des X. als vollendeter Ver- such der vorsätzlichen Tötung gemäss Art. 111 StGB in Verbindung mit Art. 22 Abs. 1 StGB zu qualifizieren ist. Was die dem Opfer zugefügten schweren Körperverlet- zungen betrifft, so werden diese vom Tötungsversuch konsumiert (Schubarth, Kom- mentar zum Schweizerischen Strafrecht, Bd. 1, N 80 zu Art. 123 StGB). 3.a.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w:t>
      </w:r>
    </w:p>
    <w:p>
      <w:r>
        <w:rPr>
          <w:b/>
        </w:rPr>
        <w:t>E. 15</w:t>
      </w:r>
    </w:p>
    <w:p>
      <w:r>
        <w:t>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129 IV</w:t>
      </w:r>
    </w:p>
    <w:p>
      <w:r>
        <w:rPr>
          <w:b/>
        </w:rPr>
        <w:t>E. 20</w:t>
      </w:r>
    </w:p>
    <w:p>
      <w:r>
        <w:t>f.). Grundlage für die Strafzumessung bildet im vorliegenden Fall der in Art. 111 StGB vorgesehene Strafrahmen von Zuchthaus nicht unter fünf Jahren. b. X. hat eine schwere Tat begangen, indem er Dr. R. mit mehreren Mes- serstichen lebensgefährlich verletzte und dabei dessen Tod in Kauf nahm. Zu die- sem Akt führten nicht zuletzt die falsche Annahme des Angeklagten, Dr. R. habe ihn nicht fachgerecht behandelt, sowie ein der Tat vorausgehender erheblicher Al- koholkonsum. Das Verschulden von X. wiegt unter diesen Umständen schwer. Er wollte einem Menschen ohne nachvollziehbaren Grund jenes Gut wegnehmen, das als das Höchste betrachtet wird. Damit hat er eine erschreckende Gleichgültigkeit fremdem Leben gegenüber gezeigt. Einzig den erfolgreichen Beschwichtigungsver- suchen von Dr. R. bzw. der nachfolgenden raschen medizinischen Betreuung des- selben ist es zu verdanken, dass das Opfer überlebte. Strafmindernd kann X. zugute gehalten werden, dass er nach anfänglichem Bestreiten zu seiner Tat steht und ein Geständnis abgelegt hat. Ferner zeigt er Reue hinsichtlich der begangenen Tat; unter anderem hat er seinem Opfer ein Entschul- digungsschreiben zukommen lassen. Die Intensität eines Strafmilderungsgrundes im Sinne von Art. 64 Abs. 5 StGB, wie von der Verteidigung geltend gemacht, wird dadurch indes nicht erreicht. Zu Gunsten von X. gilt es auch zu berücksichtigen, dass er nicht vorbestraft ist und einen rechten Leumund geniesst. Auch dass sich der Angeklagte im Tatzeitpunkt aufgrund seiner durch die psychische Erkrankung bedingte dauernden Arbeitslosigkeit sowie der Trennung von seiner Familie in einer belastenden Lebensphase befand, kann ihm zugute gehalten werden. Die Strafan- stalt Sennhof stellt ihm überdies ein gutes Führungszeugnis aus. Keinen Strafre- duktionsgrund stellt der Eventualvorsatz dar. Diese Vorsatzart ist hinsichtlich der</w:t>
      </w:r>
    </w:p>
    <w:p>
      <w:r>
        <w:t>16 Strafzumessung dem direkten Vorsatz gleichgestellt (Entscheid des Bundesgerichts vom 1. Oktober 2003, 6S.216/2003, E. 3). Strafmildernd wirkt sich einerseits der vollendete Versuch im Sinne von Art.</w:t>
      </w:r>
    </w:p>
    <w:p>
      <w:r>
        <w:rPr>
          <w:b/>
        </w:rPr>
        <w:t>E. 22</w:t>
      </w:r>
    </w:p>
    <w:p>
      <w:r>
        <w:t>bei Vorliegen eines Feststellungsbegehrens vorerst dessen Zulässigkeit zu prüfen und eine Klage auf Feststellung eines dem eidgenössischen Recht unterstehenden Rechtsverhältnisses nur zuzulassen, wenn der Kläger an der sofortigen Feststel- lung ein schutzwürdiges Interesse hat. Dieses kann rechtlicher oder tatsächlicher Natur sein, muss aber erheblich sein (BGE 114 II 255; Gomm/Steiner/Zehntner, Kommentar zum Opferhilfegesetz, Bern 1995, N 15 f. zu Art. 9 OHG). Gerade bei Körperverletzungen können die Verletzungen im Zeitpunkt des Strafprozesses noch lange nicht überblickbar sein. In diesem Fall besteht ohne Weiteres ein Interesse des Opfers, nicht nur fällige Leistungen als Teil des Schadens einzuklagen, sondern das den Ansprüchen zugrunde liegende Rechtsverhältnis für deren künftige Abwick- lung grundsätzlich feststellen zu lassen (vgl. BGE 114 II 256). d. Wer einem anderen widerrechtlich Schaden zufügt, sei es mit Absicht, sei es aus Fahrlässigkeit, wird ihm zum Ersatze verpflichtet (Art. 41 Abs. 1 OR). Eine Körperverletzung gibt dem Verletzten Anspruch auf Ersatz der Kosten sowie auf Entschädigung für die Nachteile gänzlicher oder teilweiser Arbeitsunfähigkeit, unter Berücksichtigung der Erschwerung des wirtschaftlichen Fortkommens (Art. 46 Abs. 1 OR). Sind im Zeitpunkt der Urteilsfällung die Folgen der Verletzung nicht mit hinreichender Sicherheit festzustellen, so kann das Gericht bis auf zwei Jahre, vom Tage des Urteils an gerechnet, dessen Abänderung vorbehalten (Art. 46 Abs. 2 OR). Dass der Adhäsionskläger durch die von X. verschuldete Tat im Sinne von Art. 41 OR widerrechtlich geschädigt wurde, steht aufgrund der vorangehenden Er- wägungen hinlänglich fest. Gemäss ärztlichem Bericht von Dr. med. W. vom 21. Juni 2004 führten die Messerstiche des Adhäsionsbeklagten beim Adhäsionskläger zu lebensgefährlichen Verletzungen, die einen längeren Spitalaufenthalt sowie in- tensive ärztliche Behandlungen erforderten bzw. immer noch erfordern. Gemäss ärztlichem Bericht von Dr. med. Y. vom 5. Juli 2004 war im damaligen Zeitpunkt schwierig zu beurteilen, wie weit die körperlichen Beschwerden ausheilen würden. Auch die voraussichtliche Dauer der Heilung erwies sich als noch nicht abschlies- send beurteilbar. Nach Angaben des Adhäsionsklägers dauern die Folgen der Ver- letzungen der physischen und psychischen Integrität auch heute noch an; er befin- det sich immer noch in ärztlicher Behandlung. Unter diesen Umständen lassen sich im jetzigen Zeitpunkt weder die medizinischen noch die wirtschaftlichen Folgen der Körperverletzung abschliessend beurteilen. Entsprechend erweist sich auch der Schadensnachweis lediglich teilweise als möglich. Die Wahrscheinlichkeit künftiger Schäden besteht unter den genannten Umständen durchaus, und ein Interesse des</w:t>
      </w:r>
    </w:p>
    <w:p>
      <w:r>
        <w:rPr>
          <w:b/>
        </w:rPr>
        <w:t>E. 23</w:t>
      </w:r>
    </w:p>
    <w:p>
      <w:r>
        <w:t>Opfers an der sofortigen Feststellung der grundsätzlichen Haftung von X. für durch dessen Handlungen künftig entstehende Schäden zusätzlich zur Beurteilung des heute bereits bezifferbaren und anerkannten Schadens ist ohne weiteres gegeben. Im Sinne von Art. 9 Abs. 3 OHG ist daher der Schadenersatzanspruch von Dr. R. gegenüber X. dem Grundsatz nach festzustellen. Was die Haftungsquote anbe- langt, welche abhängig ist von der Verschuldensfrage, allfälligen Milderungsgrün- den beim Ersatzpflichtigen und auch von allfälligen tatfremden Faktoren (vgl. hierzu Gomm/Stein/Zehntner, a.a.O., N 12 zu Art. 9 OHG), so ist vorliegendenfalls auf eine volle Ersatzpflicht des X. zu erkennen. Dem Opfer kann aufgrund der konkreten Umstände nicht der geringste Vorwurf irgendwelchen Mitverschuldens gemacht werden. Ebenso wenig liegen auf Seiten des Täters Gründe vor, welche eine Re- duktion der Haftungsquote rechtfertigen würden. Es wird daher gerichtlich festge- stellt, dass X. gegenüber dem Adhäsionskläger für die Folgen der strafbaren Hand- lung vom 26. April 2004 vollumfänglich schadenersatzpflichtig ist. Die dem Adhäsionskläger durch die Straftat bis anhin entstandenen Kosten (Transportkosten, Operations- und Hospitalisierungskosten, Arztkosten) und deren Bezahlung durch den Adhäsionskläger sind durch entsprechende Leistungsabrech- nungen sowie entsprechende Zahlungsbelege nachgewiesen. X. ist für diese Kos- ten gestützt auf Art. 41 und 46 OR schadenersatzpflichtig. Geschuldet ist hierbei nicht nur der Kostenersatz, sondern auch ein Verzugszins von 5 % seit Eintritt des Schadens, das heisst seit dem Zeitpunkt der Bezahlung der entsprechenden Rech- nungen. Der Adhäsionsbeklagte anerkennt den geltend gemachten Schadenersatz von Fr. 1'916.35. X. wird verpflichtet, dem Adhäsionskläger den bis anhin entstan- denen Schaden von Fr. 22.10 nebst Zins zu 5 % seit 16. Juli 2004, Fr. 735.45 nebst Zins zu 5 % seit 9. August 2004 und Fr. 1'158.80 nebst Zins zu 5 % seit 18. August 2004 zu bezahlen. Darüber hinaus wird dem Adhäsionskläger ein Nachklagerecht für weiteren Schadenersatz für die Folgen der strafbaren Handlung vom 26. April 2004 ein- geräumt. e. Nach Art. 47 OR kann das Gericht bei einer Körperverletzung dem Verletzten unter Würdigung der besonderen Umstände eine angemessene Geld- summe als Genugtuung zusprechen. Der Zweck der Genugtuungssumme besteht darin, dass durch eine schadenersatzunabhängige Geldleistung ein gewisser Aus- gleich geschaffen wird für den erlittenen physischen und/oder psychischen Schmerz. Weil Art. 47 OR ein Anwendungsfall von Art. 49 OR ist, müssen die be-</w:t>
      </w:r>
    </w:p>
    <w:p>
      <w:r>
        <w:rPr>
          <w:b/>
        </w:rPr>
        <w:t>E. 24</w:t>
      </w:r>
    </w:p>
    <w:p>
      <w:r>
        <w:t>sonderen Umstände in der Schwere der Verletzung der Persönlichkeit liegen (Schnyder, Kommentar zum Schweizerischen Privatrecht, Obligationenrecht I, 3. Aufl., Basel 2003, N 16 zu Art. 47 OR). Als Verletzung im Sinne von Art. 47 OR gilt nicht nur eine Beeinträchtigung der körperlichen, sondern auch der seelischen Inte- grität (Brehm, Berner Kommentar zum Schweizerischen Privatrecht, Bd. IV, 1. Ab- teilung, 3. Teilband, 1. Unterteilband, Art. 41-61 OR, 2. Aufl., Bern 1998, N 14 zu Art. 47 OR, mit Hinweisen). Weitere Anspruchsvoraussetzungen sind die Wider- rechtlichkeit sowie ein Verschulden des Täters (Brehm, a.a.O., N 17 f. zu Art. 47 OR). Die Bemessung der Genugtuungssumme hängt im Wesentlichen von der Art und der Schwere der Verletzung, von der Intensität und der Dauer der Auswirkun- gen sowie vom Grad des Verschuldens des Schädigers und des Verletzten ab (BGE 112 II 131). Je intensiver die immaterielle Unbill auf den Anspruchsteller eingewirkt hat, desto höher ist grundsätzlich die Genugtuungssumme (Schnyder, a.a.O., N 20 f. zu Art. 47 OR). Dabei hat das Gericht speziell Wert auf die Situation des Einzelnen zu legen und dennoch für ungefähr gleiche Fälle eine gewisse Objektivierung walten zu lassen. Einschlägige Präjudizien können dabei als Richtschnur oder Ausgangs- punkt für einen Vergleich mit einem neuen Fall dienen (vgl. Hütte/Ducksch, Die Ge- nugtuung, 3. Auflage, Zürich 1996, Stand: März 2003, I/100f.). Das Gericht hat dem- nach nach Recht und Billigkeit zu entscheiden, ob eine Genugtuung zuzusprechen ist und wie hoch diese bejahendenfalls sein soll. X. hat Dr. R. am 26. April 2004 mit mehreren Messerstiche lebensgefährlich verletzt. Dadurch hat er seinem Opfer unbestrittenermassen widerrechtlich derart schwere physische und psychische Verletzungen zugefügt, dass es in seinem Wohlbefinden ganz erheblich beeinträchtigt war und offenbar noch immer ist. X. trifft hierbei ein schweres Verschulden. Die Anspruchsvoraussetzungen für die Zuspre- chung einer Genugtuung sind damit gegeben. Für die Bemessung des Genugtu- ungsanspruches sind, wie bereits erwähnt, in erster Linie die Schwere, die Intensität und die Dauer der Verletzung sowie das Mass des Verschuldens des Täters und des Opfers massgebend. Vorliegend ist zu berücksichtigen, dass die Tatumstände sehr schwer wiegen. Das Opfer erlitt mehrere lebensgefährliche Messerstichverlet- zungen und leidet noch heute - in Form einer eingeschränkten Lungenfunktion so- wie einer arteriellen Verschlusskrankheit - an deren körperlichen Folgen. Zusätzlich ist das Opfer psychisch stark beeinträchtigt und leidet an einem posttraumatischen Stresssyndrom mit Schlafstörungen und Alpträumen. Darüber hinaus besteht eine 100 % - Arbeitsunfähigkeit. Das Verschulden des Adhäsionsbeklagten wiegt schwer; demgegenüber trägt das Opfer keinerlei Verschulden am Geschehenen.</w:t>
      </w:r>
    </w:p>
    <w:p>
      <w:r>
        <w:rPr>
          <w:b/>
        </w:rPr>
        <w:t>E. 25</w:t>
      </w:r>
    </w:p>
    <w:p>
      <w:r>
        <w:t>Die Rechtsprechung zu bei Körperverletzungen ähnlicher Art ausgesproche- nen Genugtuungssummen präsentiert sich sehr unterschiedlich. Einem Mann, wel- cher durch einen Messerstich in den Oberbauch lebensgefährliche Verletzungen erlitt, sprach die Justiz-, Gemeinde- und Kirchendirektion Bern am 19. März 1996 eine Genugtuung von Fr. 12'000.-- zu (vgl. Hütte/Ducksch, a.a.O., Tabelle VIII/21, 1995-1997, Nr. 17 c.). Eine Genugtuung von Fr. 30'000.-- wurde am 31. März 1995 vom Geschworenengericht Zürich einer Frau zugesprochen, der von ihrem Ex- Freund Stichwunden am Hals und in den Bauch zugefügt wurden und die an lange dauernden Angsttraumata litt (vgl. Hütte/Ducksch, a.a.O., Tabelle VIII/26, 1995- 1997, Nr. 20). Den Betrag von Fr. 15'000.-- sprach das Obergericht Zürich am 11. April 2002 einer Frau zu, welcher vom Ehemann Messerstiche in den Bauch ver- setzt wurde und die dabei lebensgefährliche Verletzungen erlitt (vgl. Hütte/Ducksch, a.a.O., Tabelle VIII/12, 2001 ff., Nr. 32). Schliesslich erhielt ein Mann, der durch einen Schuss in Bauch und Becken Verletzungen erlitt und zu 50 % invalid wurde, vom Bundesgericht am 22. Juli 2002 eine Genugtuung von Fr. 50'000.-- zugespro- chen (vgl. Hütte/Ducksch, a.a.O., Tabelle VIII/18, 2001 ff., Nr. 42). Angesichts dieser Rechtsprechung sowie unter Würdigung der konkreten Umstände - insbesondere der Schwere der Verletzungen, deren Folgen immer noch andauern und das Opfer wahrscheinlich zeitlebens beeinträchtigen werden - erachtet das Gericht die bean- tragte Genugtuung von Fr. 30'000.00 als angemessen. Zur klagbaren Genugtuungsforderung gehört auch ein Schadenszins. Dieser ist mit Eintritt des den Anspruch begründenden Ereignisses fällig (BGE 81 II 512 ff.; Brehm, a.a.O., N 87 ff. zu Art. 47 OR mit Hinweis auf N 97 zu Art. 41 OR). Da die Straftat am 26. April 2004 verübt wurde, ist die Genugtuung ab diesem Datum mit 5 % zu verzinsen. Damit wird X. verpflichtet, dem Adhäsionskläger eine Genugtuung von Fr. 30'000.- zuzüglich 5 % Zins ab 26. April 2004 zu bezahlen. f. Da der Adhäsionskläger mit seinen Klagebegehren vollumfänglich durchgedrungen ist, hat der Adhäsionsbeklagte diesen in analoger Anwendung von Art. 122 ZPO gemäss der eingereichten detaillierten Honorarnote im Umfang von Fr. 3'244.60 ausseramtlich zu entschädigen. 7. Bei diesem Ausgang des Verfahrens gehen die Untersuchungskosten der Staatsanwaltschaft Graubünden, die Gerichtsgebühr sowie das Honorar der amtlichen Verteidigung gestützt auf Art. 158 Abs. 1 StPO zu Lasten des Verurteilten. Die Kosten der angerechneten Polizeihaft und des Strafvollzugs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